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绍兴市2021年度“1+9”政策绩效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评价报告——开放型经济政策</w:t>
      </w:r>
    </w:p>
    <w:p>
      <w:pPr>
        <w:widowControl/>
        <w:shd w:val="clear" w:color="auto" w:fill="FFFFFF"/>
        <w:spacing w:line="240" w:lineRule="atLeast"/>
        <w:ind w:firstLine="642" w:firstLineChars="200"/>
        <w:jc w:val="center"/>
        <w:rPr>
          <w:rFonts w:ascii="黑体" w:hAnsi="黑体" w:eastAsia="黑体" w:cs="仿宋_GB2312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一、政策基本情况</w:t>
      </w:r>
    </w:p>
    <w:p>
      <w:pPr>
        <w:widowControl/>
        <w:shd w:val="clear" w:color="auto" w:fill="FFFFFF"/>
        <w:spacing w:line="360" w:lineRule="auto"/>
        <w:ind w:firstLine="640" w:firstLineChars="20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2021年，绍兴市出台了《鼓励支持开放型经济发展若干政策》（绍政办发〔2021〕29号），共包括</w:t>
      </w:r>
      <w:r>
        <w:rPr>
          <w:rFonts w:hint="eastAsia" w:ascii="仿宋_GB2312" w:eastAsia="仿宋_GB2312"/>
          <w:sz w:val="32"/>
          <w:szCs w:val="32"/>
        </w:rPr>
        <w:t>鼓励引进优质外资、做大做强对外贸易、鼓励发展贸易新业态、加大“走出去”支持力度、支持防范外经贸风险等5大支持方向和27条具体政策，</w:t>
      </w:r>
      <w:r>
        <w:rPr>
          <w:rFonts w:hint="eastAsia" w:ascii="仿宋_GB2312" w:hAnsi="仿宋_GB2312" w:eastAsia="仿宋_GB2312" w:cs="仿宋_GB2312"/>
          <w:sz w:val="32"/>
          <w:szCs w:val="32"/>
        </w:rPr>
        <w:t>较上一轮政策</w:t>
      </w:r>
      <w:r>
        <w:rPr>
          <w:rFonts w:hint="eastAsia" w:ascii="仿宋_GB2312" w:eastAsia="仿宋_GB2312"/>
          <w:sz w:val="32"/>
          <w:szCs w:val="32"/>
        </w:rPr>
        <w:t>共新增政策1条、作废政策3条、修订政策17条。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2</w:t>
      </w:r>
      <w:r>
        <w:rPr>
          <w:rFonts w:ascii="仿宋_GB2312" w:hAnsi="Times New Roman" w:eastAsia="仿宋_GB2312"/>
          <w:kern w:val="0"/>
          <w:sz w:val="32"/>
          <w:szCs w:val="32"/>
        </w:rPr>
        <w:t>021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年，绍兴市开放型经济政策预算资金安排</w:t>
      </w:r>
      <w:r>
        <w:rPr>
          <w:rFonts w:ascii="仿宋_GB2312" w:hAnsi="Times New Roman" w:eastAsia="仿宋_GB2312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.</w:t>
      </w:r>
      <w:r>
        <w:rPr>
          <w:rFonts w:ascii="仿宋_GB2312" w:hAnsi="Times New Roman" w:eastAsia="仿宋_GB2312"/>
          <w:kern w:val="0"/>
          <w:sz w:val="32"/>
          <w:szCs w:val="32"/>
        </w:rPr>
        <w:t>41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亿元，实际兑现资金</w:t>
      </w:r>
      <w:r>
        <w:rPr>
          <w:rFonts w:ascii="仿宋_GB2312" w:hAnsi="Times New Roman" w:eastAsia="仿宋_GB2312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.</w:t>
      </w:r>
      <w:r>
        <w:rPr>
          <w:rFonts w:ascii="仿宋_GB2312" w:hAnsi="Times New Roman" w:eastAsia="仿宋_GB2312"/>
          <w:kern w:val="0"/>
          <w:sz w:val="32"/>
          <w:szCs w:val="32"/>
        </w:rPr>
        <w:t>41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亿元，预算执行率为</w:t>
      </w:r>
      <w:r>
        <w:rPr>
          <w:rFonts w:ascii="仿宋_GB2312" w:hAnsi="Times New Roman" w:eastAsia="仿宋_GB2312"/>
          <w:kern w:val="0"/>
          <w:sz w:val="32"/>
          <w:szCs w:val="32"/>
        </w:rPr>
        <w:t>10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0</w:t>
      </w:r>
      <w:r>
        <w:rPr>
          <w:rFonts w:ascii="仿宋_GB2312" w:hAnsi="Times New Roman" w:eastAsia="仿宋_GB2312"/>
          <w:kern w:val="0"/>
          <w:sz w:val="32"/>
          <w:szCs w:val="32"/>
        </w:rPr>
        <w:t>.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00</w:t>
      </w:r>
      <w:r>
        <w:rPr>
          <w:rFonts w:ascii="仿宋_GB2312" w:hAnsi="Times New Roman" w:eastAsia="仿宋_GB2312"/>
          <w:kern w:val="0"/>
          <w:sz w:val="32"/>
          <w:szCs w:val="32"/>
        </w:rPr>
        <w:t>%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二、政策评价结论</w:t>
      </w:r>
    </w:p>
    <w:p>
      <w:pPr>
        <w:spacing w:line="360" w:lineRule="auto"/>
        <w:ind w:firstLine="645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本次评价按照</w:t>
      </w:r>
      <w:r>
        <w:rPr>
          <w:rFonts w:hint="eastAsia" w:ascii="仿宋_GB2312" w:eastAsia="仿宋_GB2312"/>
          <w:sz w:val="32"/>
          <w:szCs w:val="32"/>
        </w:rPr>
        <w:t>“政策制定——政策执行——政策绩效”</w:t>
      </w:r>
      <w:r>
        <w:rPr>
          <w:rFonts w:hint="eastAsia" w:eastAsia="仿宋_GB2312"/>
          <w:sz w:val="32"/>
          <w:szCs w:val="32"/>
        </w:rPr>
        <w:t>基本逻辑，分别从“经济性”、“效率性”、“有效性”三个维度进行评价。通过</w:t>
      </w:r>
      <w:r>
        <w:rPr>
          <w:rFonts w:hint="eastAsia" w:eastAsia="仿宋_GB2312"/>
          <w:kern w:val="0"/>
          <w:sz w:val="32"/>
          <w:szCs w:val="32"/>
        </w:rPr>
        <w:t>评价分析，</w:t>
      </w:r>
      <w:r>
        <w:rPr>
          <w:rFonts w:ascii="仿宋_GB2312" w:hAnsi="仿宋" w:eastAsia="仿宋_GB2312" w:cstheme="minorBidi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2021年绍兴市开放型经济政策</w:t>
      </w:r>
      <w:r>
        <w:rPr>
          <w:rFonts w:hint="eastAsia" w:eastAsia="仿宋_GB2312"/>
          <w:kern w:val="0"/>
          <w:sz w:val="32"/>
          <w:szCs w:val="32"/>
        </w:rPr>
        <w:t>绩效评价得分率</w:t>
      </w:r>
      <w:r>
        <w:rPr>
          <w:rFonts w:ascii="仿宋_GB2312" w:eastAsia="仿宋_GB2312"/>
          <w:b/>
          <w:bCs/>
          <w:kern w:val="0"/>
          <w:sz w:val="32"/>
          <w:szCs w:val="32"/>
        </w:rPr>
        <w:t>81.01%</w:t>
      </w:r>
      <w:r>
        <w:rPr>
          <w:rFonts w:hint="eastAsia" w:eastAsia="仿宋_GB2312"/>
          <w:b/>
          <w:bCs/>
          <w:kern w:val="0"/>
          <w:sz w:val="32"/>
          <w:szCs w:val="32"/>
        </w:rPr>
        <w:t>，</w:t>
      </w:r>
      <w:r>
        <w:rPr>
          <w:rFonts w:hint="eastAsia" w:eastAsia="仿宋_GB2312"/>
          <w:kern w:val="0"/>
          <w:sz w:val="32"/>
          <w:szCs w:val="32"/>
        </w:rPr>
        <w:t>评价等级为：</w:t>
      </w:r>
      <w:r>
        <w:rPr>
          <w:rFonts w:hint="eastAsia" w:eastAsia="仿宋_GB2312"/>
          <w:b/>
          <w:bCs/>
          <w:kern w:val="0"/>
          <w:sz w:val="32"/>
          <w:szCs w:val="32"/>
        </w:rPr>
        <w:t>良</w:t>
      </w:r>
      <w:r>
        <w:rPr>
          <w:rStyle w:val="18"/>
          <w:rFonts w:eastAsia="仿宋_GB2312"/>
          <w:b/>
          <w:bCs/>
          <w:kern w:val="0"/>
          <w:sz w:val="32"/>
          <w:szCs w:val="32"/>
        </w:rPr>
        <w:footnoteReference w:id="0"/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三、主要问题</w:t>
      </w:r>
    </w:p>
    <w:p>
      <w:pPr>
        <w:spacing w:line="360" w:lineRule="auto"/>
        <w:ind w:firstLine="645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（一）政策奖补资金投向不够精准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从政策奖补资金来看，2021年</w:t>
      </w:r>
      <w:r>
        <w:rPr>
          <w:rFonts w:hint="eastAsia" w:ascii="仿宋_GB2312" w:hAnsi="楷体" w:eastAsia="仿宋_GB2312" w:cs="仿宋_GB2312"/>
          <w:sz w:val="32"/>
          <w:szCs w:val="32"/>
        </w:rPr>
        <w:t>《鼓励支持开放型经济发展若干政策》（绍政办发〔2021〕29号）第十条“鼓励机电、高新产品出口</w:t>
      </w:r>
      <w:r>
        <w:rPr>
          <w:rFonts w:hint="eastAsia" w:ascii="仿宋_GB2312" w:eastAsia="仿宋_GB2312"/>
          <w:sz w:val="32"/>
          <w:szCs w:val="32"/>
        </w:rPr>
        <w:t>”共兑现资金仅占全部兑现资金的</w:t>
      </w:r>
      <w:r>
        <w:rPr>
          <w:rFonts w:hint="eastAsia" w:ascii="仿宋_GB2312" w:eastAsia="仿宋_GB2312"/>
          <w:sz w:val="32"/>
          <w:szCs w:val="32"/>
          <w:lang w:eastAsia="zh-CN"/>
        </w:rPr>
        <w:t>比例过低</w:t>
      </w:r>
      <w:r>
        <w:rPr>
          <w:rFonts w:hint="eastAsia" w:ascii="仿宋_GB2312" w:eastAsia="仿宋_GB2312"/>
          <w:sz w:val="32"/>
          <w:szCs w:val="32"/>
        </w:rPr>
        <w:t>，奖补</w:t>
      </w:r>
      <w:r>
        <w:rPr>
          <w:rFonts w:hint="eastAsia" w:ascii="仿宋_GB2312" w:hAnsi="楷体" w:eastAsia="仿宋_GB2312" w:cs="仿宋_GB2312"/>
          <w:sz w:val="32"/>
          <w:szCs w:val="32"/>
        </w:rPr>
        <w:t>资金倾斜力度有待提升。</w:t>
      </w:r>
    </w:p>
    <w:p>
      <w:pPr>
        <w:spacing w:line="360" w:lineRule="auto"/>
        <w:ind w:firstLine="645"/>
        <w:rPr>
          <w:rFonts w:hint="eastAsia" w:ascii="楷体" w:hAnsi="楷体" w:eastAsia="楷体" w:cs="Times New Roman"/>
          <w:b/>
          <w:sz w:val="32"/>
          <w:szCs w:val="32"/>
          <w:lang w:eastAsia="zh-CN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（二）高技术产业使用外资无明显导向政策</w:t>
      </w:r>
      <w:r>
        <w:rPr>
          <w:rFonts w:hint="eastAsia" w:ascii="楷体" w:hAnsi="楷体" w:eastAsia="楷体" w:cs="Times New Roman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45"/>
        <w:rPr>
          <w:rFonts w:hint="eastAsia" w:ascii="仿宋_GB2312" w:hAnsi="楷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《浙江省商务高质量发展“十四五”规划》</w:t>
      </w:r>
      <w:r>
        <w:rPr>
          <w:rFonts w:hint="eastAsia" w:ascii="仿宋_GB2312" w:eastAsia="仿宋_GB2312"/>
          <w:sz w:val="32"/>
          <w:szCs w:val="32"/>
        </w:rPr>
        <w:t>（浙政办发〔2021〕31号）</w:t>
      </w:r>
      <w:r>
        <w:rPr>
          <w:rFonts w:hint="eastAsia" w:ascii="仿宋_GB2312" w:hAnsi="楷体" w:eastAsia="仿宋_GB2312" w:cs="仿宋_GB2312"/>
          <w:sz w:val="32"/>
          <w:szCs w:val="32"/>
        </w:rPr>
        <w:t>中提出了“高技术产业使用外资比重”在2025年提升至32.00%的商务发展规划目标。2021年，绍兴市高技术产业使用外资占比</w:t>
      </w:r>
      <w:r>
        <w:rPr>
          <w:rFonts w:ascii="仿宋_GB2312" w:hAnsi="楷体" w:eastAsia="仿宋_GB2312" w:cs="仿宋_GB2312"/>
          <w:sz w:val="32"/>
          <w:szCs w:val="32"/>
        </w:rPr>
        <w:t>较</w:t>
      </w:r>
      <w:r>
        <w:rPr>
          <w:rFonts w:hint="eastAsia" w:ascii="仿宋_GB2312" w:hAnsi="楷体" w:eastAsia="仿宋_GB2312" w:cs="仿宋_GB2312"/>
          <w:sz w:val="32"/>
          <w:szCs w:val="32"/>
        </w:rPr>
        <w:t>2020年</w:t>
      </w:r>
      <w:r>
        <w:rPr>
          <w:rFonts w:hint="eastAsia" w:ascii="仿宋_GB2312" w:hAnsi="楷体" w:eastAsia="仿宋_GB2312" w:cs="仿宋_GB2312"/>
          <w:sz w:val="32"/>
          <w:szCs w:val="32"/>
          <w:lang w:eastAsia="zh-CN"/>
        </w:rPr>
        <w:t>有所下降，未达预期。</w:t>
      </w:r>
    </w:p>
    <w:p>
      <w:pPr>
        <w:spacing w:line="360" w:lineRule="auto"/>
        <w:ind w:firstLine="645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（三）服务贸易政策推动作用有待提升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45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2021年，绍兴市服务贸易出口额较2020年</w:t>
      </w:r>
      <w:r>
        <w:rPr>
          <w:rFonts w:hint="eastAsia" w:ascii="仿宋_GB2312" w:hAnsi="楷体" w:eastAsia="仿宋_GB2312" w:cs="仿宋_GB2312"/>
          <w:sz w:val="32"/>
          <w:szCs w:val="32"/>
          <w:lang w:eastAsia="zh-CN"/>
        </w:rPr>
        <w:t>有所</w:t>
      </w:r>
      <w:r>
        <w:rPr>
          <w:rFonts w:hint="eastAsia" w:ascii="仿宋_GB2312" w:hAnsi="楷体" w:eastAsia="仿宋_GB2312" w:cs="仿宋_GB2312"/>
          <w:sz w:val="32"/>
          <w:szCs w:val="32"/>
        </w:rPr>
        <w:t>增长，但占全省的比重</w:t>
      </w:r>
      <w:r>
        <w:rPr>
          <w:rFonts w:hint="eastAsia" w:ascii="仿宋_GB2312" w:hAnsi="楷体" w:eastAsia="仿宋_GB2312" w:cs="仿宋_GB2312"/>
          <w:sz w:val="32"/>
          <w:szCs w:val="32"/>
          <w:lang w:eastAsia="zh-CN"/>
        </w:rPr>
        <w:t>有所下降</w:t>
      </w:r>
      <w:r>
        <w:rPr>
          <w:rFonts w:hint="eastAsia" w:ascii="仿宋_GB2312" w:hAnsi="楷体" w:eastAsia="仿宋_GB2312" w:cs="仿宋_GB2312"/>
          <w:sz w:val="32"/>
          <w:szCs w:val="32"/>
        </w:rPr>
        <w:t>；服务贸易出口额全省第8的排名也落后于绍兴市全省第4的GDP总量排名。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 w:firstLine="160" w:firstLineChars="5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四、对策建议</w:t>
      </w:r>
    </w:p>
    <w:p>
      <w:pPr>
        <w:spacing w:line="360" w:lineRule="auto"/>
        <w:ind w:firstLine="624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（一）优化资金倾斜力度，助力规划目标如期完成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24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建议对《鼓励支持开放型经济发展若干政策》（绍政办发〔2021〕</w:t>
      </w:r>
      <w:r>
        <w:rPr>
          <w:rFonts w:ascii="仿宋_GB2312" w:hAnsi="楷体" w:eastAsia="仿宋_GB2312" w:cs="仿宋_GB2312"/>
          <w:sz w:val="32"/>
          <w:szCs w:val="32"/>
        </w:rPr>
        <w:t>29号）</w:t>
      </w:r>
      <w:r>
        <w:rPr>
          <w:rFonts w:hint="eastAsia" w:ascii="仿宋_GB2312" w:hAnsi="楷体" w:eastAsia="仿宋_GB2312" w:cs="仿宋_GB2312"/>
          <w:sz w:val="32"/>
          <w:szCs w:val="32"/>
        </w:rPr>
        <w:t>进行修订，适当降低第六条“支持企业参加展会”、第九条“鼓励外贸企业做大做强”等政策的奖补力度，将相应财政资金用于第十条“鼓励机电、高新产品出口”，推动出口产品结构持续优化，助力绍兴市“十四五”规划目标如期完成。</w:t>
      </w:r>
    </w:p>
    <w:p>
      <w:pPr>
        <w:spacing w:line="360" w:lineRule="auto"/>
        <w:ind w:firstLine="624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（二）完善奖补政策导向，打造高质量外资集聚地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24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" w:eastAsia="仿宋_GB2312" w:cs="仿宋_GB2312"/>
          <w:sz w:val="32"/>
          <w:szCs w:val="32"/>
        </w:rPr>
        <w:t>建议对《鼓励支持开放型经济发展若干政策》（绍政办发〔2021〕</w:t>
      </w:r>
      <w:r>
        <w:rPr>
          <w:rFonts w:ascii="仿宋_GB2312" w:hAnsi="楷体" w:eastAsia="仿宋_GB2312" w:cs="仿宋_GB2312"/>
          <w:sz w:val="32"/>
          <w:szCs w:val="32"/>
        </w:rPr>
        <w:t>29号）</w:t>
      </w:r>
      <w:r>
        <w:rPr>
          <w:rFonts w:hint="eastAsia" w:ascii="仿宋_GB2312" w:hAnsi="楷体" w:eastAsia="仿宋_GB2312" w:cs="仿宋_GB2312"/>
          <w:sz w:val="32"/>
          <w:szCs w:val="32"/>
        </w:rPr>
        <w:t>第一条“加大财政支持力度”进行完善，对于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高技术产业利用外资项目，在原有奖补标准基础上适当加大奖补力度，推动</w:t>
      </w:r>
      <w:r>
        <w:rPr>
          <w:rFonts w:hint="eastAsia" w:ascii="仿宋_GB2312" w:hAnsi="楷体" w:eastAsia="仿宋_GB2312" w:cs="仿宋_GB2312"/>
          <w:sz w:val="32"/>
          <w:szCs w:val="32"/>
        </w:rPr>
        <w:t>《浙江省商务高质量发展“十四五”规划》（</w:t>
      </w:r>
      <w:r>
        <w:rPr>
          <w:rFonts w:hint="eastAsia" w:ascii="仿宋_GB2312" w:eastAsia="仿宋_GB2312"/>
          <w:sz w:val="32"/>
          <w:szCs w:val="32"/>
        </w:rPr>
        <w:t>浙政办发〔2021〕31号</w:t>
      </w:r>
      <w:r>
        <w:rPr>
          <w:rFonts w:hint="eastAsia" w:ascii="仿宋_GB2312" w:hAnsi="楷体" w:eastAsia="仿宋_GB2312" w:cs="仿宋_GB2312"/>
          <w:sz w:val="32"/>
          <w:szCs w:val="32"/>
        </w:rPr>
        <w:t>）目标中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“高技术产业使用外资占比”的不断提高。</w:t>
      </w:r>
    </w:p>
    <w:p>
      <w:pPr>
        <w:spacing w:line="360" w:lineRule="auto"/>
        <w:ind w:firstLine="645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（三）优化奖补对象方式，推动服务贸易加速发展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24"/>
        <w:rPr>
          <w:rFonts w:ascii="仿宋_GB2312" w:hAnsi="楷体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建议对</w:t>
      </w:r>
      <w:r>
        <w:rPr>
          <w:rFonts w:hint="eastAsia" w:ascii="仿宋_GB2312" w:hAnsi="楷体" w:eastAsia="仿宋_GB2312" w:cs="仿宋_GB2312"/>
          <w:sz w:val="32"/>
          <w:szCs w:val="32"/>
        </w:rPr>
        <w:t>《鼓励支持开放型经济发展若干政策》（绍政办发〔2021〕</w:t>
      </w:r>
      <w:r>
        <w:rPr>
          <w:rFonts w:ascii="仿宋_GB2312" w:hAnsi="楷体" w:eastAsia="仿宋_GB2312" w:cs="仿宋_GB2312"/>
          <w:sz w:val="32"/>
          <w:szCs w:val="32"/>
        </w:rPr>
        <w:t>29号）</w:t>
      </w:r>
      <w:r>
        <w:rPr>
          <w:rFonts w:hint="eastAsia" w:ascii="仿宋_GB2312" w:eastAsia="仿宋_GB2312"/>
          <w:sz w:val="32"/>
          <w:szCs w:val="32"/>
        </w:rPr>
        <w:t>第十四条“鼓励开展服务贸易”进行修订，以全口径服务贸易出口额或增量为基数进行奖补并加大对于</w:t>
      </w:r>
      <w:r>
        <w:rPr>
          <w:rFonts w:hint="eastAsia" w:ascii="仿宋_GB2312" w:hAnsi="楷体" w:eastAsia="仿宋_GB2312" w:cs="仿宋_GB2312"/>
          <w:sz w:val="32"/>
          <w:szCs w:val="32"/>
        </w:rPr>
        <w:t>数字服务贸易的奖补力度；适当增大各区（县、市）的政策修订权限，使各区（县、市）出台的开放型经济政策更加符合地区发展现状，更好地发挥出财政资金的激励作用。</w:t>
      </w:r>
    </w:p>
    <w:p>
      <w:pPr>
        <w:spacing w:line="360" w:lineRule="auto"/>
        <w:ind w:firstLine="645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（四）全面梳理现行政策，避免出现连续空转现象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。</w:t>
      </w:r>
    </w:p>
    <w:p>
      <w:pPr>
        <w:spacing w:line="360" w:lineRule="auto"/>
        <w:ind w:firstLine="624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建议对《绍兴市鼓励支持开放型经济发展若干政策》</w:t>
      </w:r>
      <w:r>
        <w:rPr>
          <w:rFonts w:hint="eastAsia" w:ascii="仿宋_GB2312" w:hAnsi="楷体" w:eastAsia="仿宋_GB2312" w:cs="仿宋_GB2312"/>
          <w:sz w:val="32"/>
          <w:szCs w:val="32"/>
        </w:rPr>
        <w:t>（绍政办发〔2021〕</w:t>
      </w:r>
      <w:r>
        <w:rPr>
          <w:rFonts w:ascii="仿宋_GB2312" w:hAnsi="楷体" w:eastAsia="仿宋_GB2312" w:cs="仿宋_GB2312"/>
          <w:sz w:val="32"/>
          <w:szCs w:val="32"/>
        </w:rPr>
        <w:t>29号）</w:t>
      </w:r>
      <w:r>
        <w:rPr>
          <w:rFonts w:hint="eastAsia" w:ascii="仿宋_GB2312" w:eastAsia="仿宋_GB2312"/>
          <w:sz w:val="32"/>
          <w:szCs w:val="32"/>
        </w:rPr>
        <w:t>第二十条“支持跨境电子商务服务企业发展”等空转政策进行原因分析，判断是否需要修订或废除；对《绍兴市鼓励支持开放型经济发展若干政策》第二十一条“加大跨境电子商务物流支持力度”进行修订，适当降低对于出口额的奖补门槛。</w:t>
      </w:r>
    </w:p>
    <w:p>
      <w:pPr>
        <w:spacing w:line="360" w:lineRule="auto"/>
        <w:ind w:firstLine="645"/>
        <w:rPr>
          <w:rFonts w:ascii="仿宋_GB2312" w:hAnsi="Times New Roman" w:eastAsia="仿宋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ntury Gothic">
    <w:altName w:val="FreeSans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等线 Light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0"/>
      </w:pPr>
      <w:r>
        <w:rPr>
          <w:rStyle w:val="18"/>
        </w:rPr>
        <w:footnoteRef/>
      </w:r>
      <w:r>
        <w:t xml:space="preserve"> </w:t>
      </w:r>
      <w:r>
        <w:rPr>
          <w:rFonts w:hint="eastAsia" w:ascii="仿宋_GB2312" w:hAnsi="仿宋_GB2312" w:eastAsia="仿宋_GB2312" w:cs="仿宋_GB2312"/>
          <w:sz w:val="22"/>
        </w:rPr>
        <w:t>本次评价结果根据综合得分率划分为四个档：90（含）—100分为优、80（含）—90分为良、60（含）—80分为中、60分以下为差。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194E22"/>
    <w:multiLevelType w:val="singleLevel"/>
    <w:tmpl w:val="43194E22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D2"/>
    <w:rsid w:val="00011E9A"/>
    <w:rsid w:val="000158F0"/>
    <w:rsid w:val="000220B1"/>
    <w:rsid w:val="000223B9"/>
    <w:rsid w:val="0002738C"/>
    <w:rsid w:val="00031235"/>
    <w:rsid w:val="00031A8D"/>
    <w:rsid w:val="00033BA1"/>
    <w:rsid w:val="00037F75"/>
    <w:rsid w:val="0004125B"/>
    <w:rsid w:val="00051316"/>
    <w:rsid w:val="00051C22"/>
    <w:rsid w:val="000521D6"/>
    <w:rsid w:val="00053957"/>
    <w:rsid w:val="00057EA4"/>
    <w:rsid w:val="00062D5D"/>
    <w:rsid w:val="000633A8"/>
    <w:rsid w:val="0006637F"/>
    <w:rsid w:val="00066E60"/>
    <w:rsid w:val="00074B13"/>
    <w:rsid w:val="00077509"/>
    <w:rsid w:val="00080DE4"/>
    <w:rsid w:val="00080FC2"/>
    <w:rsid w:val="0008250E"/>
    <w:rsid w:val="00083E98"/>
    <w:rsid w:val="000849E4"/>
    <w:rsid w:val="00085D1F"/>
    <w:rsid w:val="0009073D"/>
    <w:rsid w:val="00091187"/>
    <w:rsid w:val="00093C97"/>
    <w:rsid w:val="00093D0B"/>
    <w:rsid w:val="00095387"/>
    <w:rsid w:val="000964B3"/>
    <w:rsid w:val="00096FBD"/>
    <w:rsid w:val="000A362B"/>
    <w:rsid w:val="000B2C84"/>
    <w:rsid w:val="000B3907"/>
    <w:rsid w:val="000B40D1"/>
    <w:rsid w:val="000B4C0A"/>
    <w:rsid w:val="000B62EF"/>
    <w:rsid w:val="000B7270"/>
    <w:rsid w:val="000C1215"/>
    <w:rsid w:val="000C4A3A"/>
    <w:rsid w:val="000C6117"/>
    <w:rsid w:val="000C6650"/>
    <w:rsid w:val="000D2BD7"/>
    <w:rsid w:val="000E289D"/>
    <w:rsid w:val="000E610B"/>
    <w:rsid w:val="000E7AEB"/>
    <w:rsid w:val="000F14A1"/>
    <w:rsid w:val="000F5E20"/>
    <w:rsid w:val="000F5FE7"/>
    <w:rsid w:val="000F79D5"/>
    <w:rsid w:val="001006CC"/>
    <w:rsid w:val="00101DF1"/>
    <w:rsid w:val="001021B7"/>
    <w:rsid w:val="00103082"/>
    <w:rsid w:val="00103DFF"/>
    <w:rsid w:val="001075D8"/>
    <w:rsid w:val="00117644"/>
    <w:rsid w:val="00117F7C"/>
    <w:rsid w:val="00117FDD"/>
    <w:rsid w:val="00121EFD"/>
    <w:rsid w:val="00122F0C"/>
    <w:rsid w:val="00126386"/>
    <w:rsid w:val="00127490"/>
    <w:rsid w:val="00130339"/>
    <w:rsid w:val="0013033C"/>
    <w:rsid w:val="00131BFB"/>
    <w:rsid w:val="001332A9"/>
    <w:rsid w:val="001339BE"/>
    <w:rsid w:val="00137EF8"/>
    <w:rsid w:val="001403C5"/>
    <w:rsid w:val="001439CC"/>
    <w:rsid w:val="00145FD5"/>
    <w:rsid w:val="001475C0"/>
    <w:rsid w:val="00155799"/>
    <w:rsid w:val="00157701"/>
    <w:rsid w:val="00157848"/>
    <w:rsid w:val="00157B7C"/>
    <w:rsid w:val="00161913"/>
    <w:rsid w:val="0016197A"/>
    <w:rsid w:val="0016300D"/>
    <w:rsid w:val="00164A2A"/>
    <w:rsid w:val="0016709D"/>
    <w:rsid w:val="00170C1D"/>
    <w:rsid w:val="00172DBB"/>
    <w:rsid w:val="001739FC"/>
    <w:rsid w:val="00175197"/>
    <w:rsid w:val="00175420"/>
    <w:rsid w:val="00175998"/>
    <w:rsid w:val="00181761"/>
    <w:rsid w:val="00183FE8"/>
    <w:rsid w:val="00194BFC"/>
    <w:rsid w:val="001968CB"/>
    <w:rsid w:val="00196B8E"/>
    <w:rsid w:val="00197A43"/>
    <w:rsid w:val="001A3BFD"/>
    <w:rsid w:val="001A4029"/>
    <w:rsid w:val="001A62B2"/>
    <w:rsid w:val="001B409B"/>
    <w:rsid w:val="001B706F"/>
    <w:rsid w:val="001C0790"/>
    <w:rsid w:val="001C1EF6"/>
    <w:rsid w:val="001C5C2F"/>
    <w:rsid w:val="001D2876"/>
    <w:rsid w:val="001D30FD"/>
    <w:rsid w:val="001D3519"/>
    <w:rsid w:val="001D43FF"/>
    <w:rsid w:val="001E2C25"/>
    <w:rsid w:val="001E3B65"/>
    <w:rsid w:val="002025E1"/>
    <w:rsid w:val="00205253"/>
    <w:rsid w:val="0020668A"/>
    <w:rsid w:val="00207FB4"/>
    <w:rsid w:val="002108AD"/>
    <w:rsid w:val="00211454"/>
    <w:rsid w:val="00211A88"/>
    <w:rsid w:val="00213F34"/>
    <w:rsid w:val="00220EC4"/>
    <w:rsid w:val="0022184B"/>
    <w:rsid w:val="00223585"/>
    <w:rsid w:val="002272EB"/>
    <w:rsid w:val="002312AC"/>
    <w:rsid w:val="00242126"/>
    <w:rsid w:val="002457A5"/>
    <w:rsid w:val="00245C5C"/>
    <w:rsid w:val="00246B50"/>
    <w:rsid w:val="00247622"/>
    <w:rsid w:val="002507E2"/>
    <w:rsid w:val="002527B6"/>
    <w:rsid w:val="002528B0"/>
    <w:rsid w:val="002551F7"/>
    <w:rsid w:val="00256C5B"/>
    <w:rsid w:val="00260B6F"/>
    <w:rsid w:val="00261726"/>
    <w:rsid w:val="002617D9"/>
    <w:rsid w:val="00261F5C"/>
    <w:rsid w:val="00263C47"/>
    <w:rsid w:val="00266CEC"/>
    <w:rsid w:val="00267255"/>
    <w:rsid w:val="0027095B"/>
    <w:rsid w:val="00277A04"/>
    <w:rsid w:val="00282EF4"/>
    <w:rsid w:val="00285F9D"/>
    <w:rsid w:val="00286622"/>
    <w:rsid w:val="002907BA"/>
    <w:rsid w:val="00295956"/>
    <w:rsid w:val="00297977"/>
    <w:rsid w:val="00297E27"/>
    <w:rsid w:val="002A19CB"/>
    <w:rsid w:val="002A23BE"/>
    <w:rsid w:val="002A67FC"/>
    <w:rsid w:val="002A6FE6"/>
    <w:rsid w:val="002A7F14"/>
    <w:rsid w:val="002B2923"/>
    <w:rsid w:val="002C24CE"/>
    <w:rsid w:val="002C37E7"/>
    <w:rsid w:val="002C65B9"/>
    <w:rsid w:val="002D06B2"/>
    <w:rsid w:val="002E6DCC"/>
    <w:rsid w:val="002F070D"/>
    <w:rsid w:val="002F199A"/>
    <w:rsid w:val="002F2E1F"/>
    <w:rsid w:val="002F4519"/>
    <w:rsid w:val="002F5EFB"/>
    <w:rsid w:val="00302CB2"/>
    <w:rsid w:val="00303742"/>
    <w:rsid w:val="00306275"/>
    <w:rsid w:val="003075E8"/>
    <w:rsid w:val="00310FA4"/>
    <w:rsid w:val="003112D4"/>
    <w:rsid w:val="0031184D"/>
    <w:rsid w:val="00312B50"/>
    <w:rsid w:val="0031562A"/>
    <w:rsid w:val="00320502"/>
    <w:rsid w:val="0032075F"/>
    <w:rsid w:val="00320CB5"/>
    <w:rsid w:val="00324857"/>
    <w:rsid w:val="00326525"/>
    <w:rsid w:val="0032654A"/>
    <w:rsid w:val="00327F53"/>
    <w:rsid w:val="0033080B"/>
    <w:rsid w:val="00332FFB"/>
    <w:rsid w:val="003366DE"/>
    <w:rsid w:val="0033682F"/>
    <w:rsid w:val="003373DB"/>
    <w:rsid w:val="00340896"/>
    <w:rsid w:val="00342471"/>
    <w:rsid w:val="00352787"/>
    <w:rsid w:val="003652D6"/>
    <w:rsid w:val="00366102"/>
    <w:rsid w:val="00366A8C"/>
    <w:rsid w:val="00370906"/>
    <w:rsid w:val="00372A5E"/>
    <w:rsid w:val="00380D85"/>
    <w:rsid w:val="00383A53"/>
    <w:rsid w:val="003868EC"/>
    <w:rsid w:val="003901D5"/>
    <w:rsid w:val="00391CC3"/>
    <w:rsid w:val="003950F3"/>
    <w:rsid w:val="00397FD9"/>
    <w:rsid w:val="003A003A"/>
    <w:rsid w:val="003A0B31"/>
    <w:rsid w:val="003A3B44"/>
    <w:rsid w:val="003A3F62"/>
    <w:rsid w:val="003A77B2"/>
    <w:rsid w:val="003B01FD"/>
    <w:rsid w:val="003B7A82"/>
    <w:rsid w:val="003C0F89"/>
    <w:rsid w:val="003C5024"/>
    <w:rsid w:val="003C50BF"/>
    <w:rsid w:val="003C588D"/>
    <w:rsid w:val="003D2DFC"/>
    <w:rsid w:val="003D4E8B"/>
    <w:rsid w:val="003D6D31"/>
    <w:rsid w:val="003D6FEB"/>
    <w:rsid w:val="003F07F3"/>
    <w:rsid w:val="003F2758"/>
    <w:rsid w:val="003F5D78"/>
    <w:rsid w:val="003F62CC"/>
    <w:rsid w:val="00410A6A"/>
    <w:rsid w:val="00410C8C"/>
    <w:rsid w:val="004113CE"/>
    <w:rsid w:val="004115EA"/>
    <w:rsid w:val="004122A7"/>
    <w:rsid w:val="00412536"/>
    <w:rsid w:val="004125C5"/>
    <w:rsid w:val="00413E61"/>
    <w:rsid w:val="00415126"/>
    <w:rsid w:val="0041529A"/>
    <w:rsid w:val="00416039"/>
    <w:rsid w:val="00421968"/>
    <w:rsid w:val="00421E1C"/>
    <w:rsid w:val="004265FD"/>
    <w:rsid w:val="00426724"/>
    <w:rsid w:val="00434F51"/>
    <w:rsid w:val="0044207E"/>
    <w:rsid w:val="00442B38"/>
    <w:rsid w:val="00444C63"/>
    <w:rsid w:val="00450DEF"/>
    <w:rsid w:val="00451CB6"/>
    <w:rsid w:val="00451F76"/>
    <w:rsid w:val="00453D96"/>
    <w:rsid w:val="00455C93"/>
    <w:rsid w:val="004618AC"/>
    <w:rsid w:val="00465320"/>
    <w:rsid w:val="00470E07"/>
    <w:rsid w:val="00471556"/>
    <w:rsid w:val="00471A9A"/>
    <w:rsid w:val="004741D7"/>
    <w:rsid w:val="00476BF0"/>
    <w:rsid w:val="004802CF"/>
    <w:rsid w:val="0048061F"/>
    <w:rsid w:val="00483105"/>
    <w:rsid w:val="00484E81"/>
    <w:rsid w:val="00486C35"/>
    <w:rsid w:val="00487AA1"/>
    <w:rsid w:val="00491300"/>
    <w:rsid w:val="00492F28"/>
    <w:rsid w:val="0049615E"/>
    <w:rsid w:val="004A3E6B"/>
    <w:rsid w:val="004B0822"/>
    <w:rsid w:val="004B26FA"/>
    <w:rsid w:val="004B623B"/>
    <w:rsid w:val="004C365A"/>
    <w:rsid w:val="004C72D6"/>
    <w:rsid w:val="004D3236"/>
    <w:rsid w:val="004D63B9"/>
    <w:rsid w:val="004D7DA5"/>
    <w:rsid w:val="004E3F18"/>
    <w:rsid w:val="004F1DBB"/>
    <w:rsid w:val="004F30D7"/>
    <w:rsid w:val="0050017D"/>
    <w:rsid w:val="00502387"/>
    <w:rsid w:val="005031C4"/>
    <w:rsid w:val="005033A1"/>
    <w:rsid w:val="0050440A"/>
    <w:rsid w:val="0050526E"/>
    <w:rsid w:val="005054B6"/>
    <w:rsid w:val="00520030"/>
    <w:rsid w:val="005205FB"/>
    <w:rsid w:val="005230A1"/>
    <w:rsid w:val="00530DCF"/>
    <w:rsid w:val="005343F8"/>
    <w:rsid w:val="00534865"/>
    <w:rsid w:val="00535953"/>
    <w:rsid w:val="005441F6"/>
    <w:rsid w:val="00547AF7"/>
    <w:rsid w:val="00553CEE"/>
    <w:rsid w:val="005607F1"/>
    <w:rsid w:val="00562240"/>
    <w:rsid w:val="00565C77"/>
    <w:rsid w:val="00567D46"/>
    <w:rsid w:val="00570B3D"/>
    <w:rsid w:val="00573C66"/>
    <w:rsid w:val="005749D5"/>
    <w:rsid w:val="005809EB"/>
    <w:rsid w:val="00581978"/>
    <w:rsid w:val="0058356E"/>
    <w:rsid w:val="005838A4"/>
    <w:rsid w:val="005849EE"/>
    <w:rsid w:val="00584DB3"/>
    <w:rsid w:val="00585B0C"/>
    <w:rsid w:val="00587EEF"/>
    <w:rsid w:val="0059026F"/>
    <w:rsid w:val="005910B9"/>
    <w:rsid w:val="00594FE8"/>
    <w:rsid w:val="005955C9"/>
    <w:rsid w:val="00596BBF"/>
    <w:rsid w:val="00596BFA"/>
    <w:rsid w:val="005A5307"/>
    <w:rsid w:val="005A6544"/>
    <w:rsid w:val="005B0696"/>
    <w:rsid w:val="005B1281"/>
    <w:rsid w:val="005B64F2"/>
    <w:rsid w:val="005C0382"/>
    <w:rsid w:val="005C1C87"/>
    <w:rsid w:val="005C2997"/>
    <w:rsid w:val="005C4521"/>
    <w:rsid w:val="005C7468"/>
    <w:rsid w:val="005D087A"/>
    <w:rsid w:val="005D3733"/>
    <w:rsid w:val="005D565A"/>
    <w:rsid w:val="005D76B2"/>
    <w:rsid w:val="005E2C00"/>
    <w:rsid w:val="005E45D9"/>
    <w:rsid w:val="005E76CF"/>
    <w:rsid w:val="0060149D"/>
    <w:rsid w:val="006028A1"/>
    <w:rsid w:val="00602BDF"/>
    <w:rsid w:val="00604A3B"/>
    <w:rsid w:val="006061FE"/>
    <w:rsid w:val="0060662C"/>
    <w:rsid w:val="00606905"/>
    <w:rsid w:val="0060744E"/>
    <w:rsid w:val="00610B45"/>
    <w:rsid w:val="006163F2"/>
    <w:rsid w:val="00620D2A"/>
    <w:rsid w:val="006220CB"/>
    <w:rsid w:val="00625266"/>
    <w:rsid w:val="006277D9"/>
    <w:rsid w:val="006301BC"/>
    <w:rsid w:val="00631387"/>
    <w:rsid w:val="006315CB"/>
    <w:rsid w:val="006322C0"/>
    <w:rsid w:val="00633DA0"/>
    <w:rsid w:val="00634203"/>
    <w:rsid w:val="00634775"/>
    <w:rsid w:val="0063609F"/>
    <w:rsid w:val="006362EC"/>
    <w:rsid w:val="006405EE"/>
    <w:rsid w:val="006418F2"/>
    <w:rsid w:val="00642AFE"/>
    <w:rsid w:val="00643BF0"/>
    <w:rsid w:val="00644948"/>
    <w:rsid w:val="006461A2"/>
    <w:rsid w:val="0065091D"/>
    <w:rsid w:val="006517A5"/>
    <w:rsid w:val="00654FF7"/>
    <w:rsid w:val="0065634B"/>
    <w:rsid w:val="00660F2A"/>
    <w:rsid w:val="00661286"/>
    <w:rsid w:val="00664442"/>
    <w:rsid w:val="00665C87"/>
    <w:rsid w:val="00667151"/>
    <w:rsid w:val="0067075A"/>
    <w:rsid w:val="00671D9B"/>
    <w:rsid w:val="00681E3B"/>
    <w:rsid w:val="0068314D"/>
    <w:rsid w:val="00685804"/>
    <w:rsid w:val="0068743F"/>
    <w:rsid w:val="006967AE"/>
    <w:rsid w:val="00696BB4"/>
    <w:rsid w:val="006B0D73"/>
    <w:rsid w:val="006B10D1"/>
    <w:rsid w:val="006B5953"/>
    <w:rsid w:val="006B5E08"/>
    <w:rsid w:val="006C7759"/>
    <w:rsid w:val="006D1402"/>
    <w:rsid w:val="006D1462"/>
    <w:rsid w:val="006D1BFA"/>
    <w:rsid w:val="006D2EAC"/>
    <w:rsid w:val="006D6742"/>
    <w:rsid w:val="006D7F1D"/>
    <w:rsid w:val="006E0FC9"/>
    <w:rsid w:val="006E1E70"/>
    <w:rsid w:val="006E452F"/>
    <w:rsid w:val="006E6885"/>
    <w:rsid w:val="006F2F07"/>
    <w:rsid w:val="006F4077"/>
    <w:rsid w:val="006F6917"/>
    <w:rsid w:val="006F795A"/>
    <w:rsid w:val="006F7DC3"/>
    <w:rsid w:val="007002E1"/>
    <w:rsid w:val="007012ED"/>
    <w:rsid w:val="0070285B"/>
    <w:rsid w:val="0070299F"/>
    <w:rsid w:val="00702CAF"/>
    <w:rsid w:val="00705416"/>
    <w:rsid w:val="0070658C"/>
    <w:rsid w:val="007072BB"/>
    <w:rsid w:val="00707FAF"/>
    <w:rsid w:val="0071120E"/>
    <w:rsid w:val="007113AC"/>
    <w:rsid w:val="007130C9"/>
    <w:rsid w:val="007146D6"/>
    <w:rsid w:val="007163D6"/>
    <w:rsid w:val="007217A9"/>
    <w:rsid w:val="0072475E"/>
    <w:rsid w:val="00726ABD"/>
    <w:rsid w:val="007272C3"/>
    <w:rsid w:val="00727BA1"/>
    <w:rsid w:val="00736A86"/>
    <w:rsid w:val="00744661"/>
    <w:rsid w:val="00747D20"/>
    <w:rsid w:val="00747F4E"/>
    <w:rsid w:val="00751700"/>
    <w:rsid w:val="00751762"/>
    <w:rsid w:val="00751B22"/>
    <w:rsid w:val="00757724"/>
    <w:rsid w:val="007614E1"/>
    <w:rsid w:val="007646A8"/>
    <w:rsid w:val="007718C7"/>
    <w:rsid w:val="00771975"/>
    <w:rsid w:val="007735C1"/>
    <w:rsid w:val="00775890"/>
    <w:rsid w:val="00776AD0"/>
    <w:rsid w:val="00781A6A"/>
    <w:rsid w:val="00784B1F"/>
    <w:rsid w:val="00785460"/>
    <w:rsid w:val="00787635"/>
    <w:rsid w:val="00791893"/>
    <w:rsid w:val="0079252E"/>
    <w:rsid w:val="007936D0"/>
    <w:rsid w:val="00794224"/>
    <w:rsid w:val="00794E08"/>
    <w:rsid w:val="007969BA"/>
    <w:rsid w:val="007978FE"/>
    <w:rsid w:val="007A1E8C"/>
    <w:rsid w:val="007A2B89"/>
    <w:rsid w:val="007B070D"/>
    <w:rsid w:val="007B1A68"/>
    <w:rsid w:val="007B2FEF"/>
    <w:rsid w:val="007B39C8"/>
    <w:rsid w:val="007B49C0"/>
    <w:rsid w:val="007B61A3"/>
    <w:rsid w:val="007C4261"/>
    <w:rsid w:val="007C4CBB"/>
    <w:rsid w:val="007D066A"/>
    <w:rsid w:val="007D0EF3"/>
    <w:rsid w:val="007D5847"/>
    <w:rsid w:val="007D7E2A"/>
    <w:rsid w:val="007E0D80"/>
    <w:rsid w:val="007E24FE"/>
    <w:rsid w:val="007E4B3E"/>
    <w:rsid w:val="007E5C91"/>
    <w:rsid w:val="007F03FD"/>
    <w:rsid w:val="007F341F"/>
    <w:rsid w:val="007F43AE"/>
    <w:rsid w:val="007F53CC"/>
    <w:rsid w:val="007F7895"/>
    <w:rsid w:val="008038D1"/>
    <w:rsid w:val="00803FD6"/>
    <w:rsid w:val="00805C37"/>
    <w:rsid w:val="008074CB"/>
    <w:rsid w:val="00811677"/>
    <w:rsid w:val="00812BA9"/>
    <w:rsid w:val="00812DC0"/>
    <w:rsid w:val="008139E3"/>
    <w:rsid w:val="008205A5"/>
    <w:rsid w:val="00821471"/>
    <w:rsid w:val="008323E7"/>
    <w:rsid w:val="0083313A"/>
    <w:rsid w:val="0083588B"/>
    <w:rsid w:val="00835D31"/>
    <w:rsid w:val="00836790"/>
    <w:rsid w:val="00840285"/>
    <w:rsid w:val="00841844"/>
    <w:rsid w:val="00850FE4"/>
    <w:rsid w:val="008524CE"/>
    <w:rsid w:val="00855058"/>
    <w:rsid w:val="008610CB"/>
    <w:rsid w:val="0087240C"/>
    <w:rsid w:val="00872832"/>
    <w:rsid w:val="00873345"/>
    <w:rsid w:val="008766A4"/>
    <w:rsid w:val="00876853"/>
    <w:rsid w:val="00876930"/>
    <w:rsid w:val="008838EB"/>
    <w:rsid w:val="00884AB3"/>
    <w:rsid w:val="00897385"/>
    <w:rsid w:val="008978BB"/>
    <w:rsid w:val="008A258F"/>
    <w:rsid w:val="008A54DC"/>
    <w:rsid w:val="008A67F6"/>
    <w:rsid w:val="008A720E"/>
    <w:rsid w:val="008B012C"/>
    <w:rsid w:val="008B2386"/>
    <w:rsid w:val="008B61A5"/>
    <w:rsid w:val="008C4249"/>
    <w:rsid w:val="008C6B90"/>
    <w:rsid w:val="008C6D63"/>
    <w:rsid w:val="008D3CC5"/>
    <w:rsid w:val="008E05BE"/>
    <w:rsid w:val="008E5F47"/>
    <w:rsid w:val="008E62D2"/>
    <w:rsid w:val="008E6905"/>
    <w:rsid w:val="008F194B"/>
    <w:rsid w:val="008F6283"/>
    <w:rsid w:val="008F70C9"/>
    <w:rsid w:val="008F79A0"/>
    <w:rsid w:val="00901805"/>
    <w:rsid w:val="0090737D"/>
    <w:rsid w:val="00910CF1"/>
    <w:rsid w:val="00917BDF"/>
    <w:rsid w:val="009313C1"/>
    <w:rsid w:val="009317D0"/>
    <w:rsid w:val="009322CB"/>
    <w:rsid w:val="0093233B"/>
    <w:rsid w:val="0093234F"/>
    <w:rsid w:val="0093533D"/>
    <w:rsid w:val="00940E86"/>
    <w:rsid w:val="009416A9"/>
    <w:rsid w:val="00941C5E"/>
    <w:rsid w:val="00942482"/>
    <w:rsid w:val="00943A9F"/>
    <w:rsid w:val="00943F2E"/>
    <w:rsid w:val="00944118"/>
    <w:rsid w:val="00961C54"/>
    <w:rsid w:val="00965833"/>
    <w:rsid w:val="009738C5"/>
    <w:rsid w:val="00981276"/>
    <w:rsid w:val="00991C61"/>
    <w:rsid w:val="009A0D2D"/>
    <w:rsid w:val="009A6B88"/>
    <w:rsid w:val="009B0337"/>
    <w:rsid w:val="009B1177"/>
    <w:rsid w:val="009B1C7A"/>
    <w:rsid w:val="009B1F0E"/>
    <w:rsid w:val="009B3B4C"/>
    <w:rsid w:val="009B419B"/>
    <w:rsid w:val="009C53F4"/>
    <w:rsid w:val="009C560E"/>
    <w:rsid w:val="009D32B1"/>
    <w:rsid w:val="009D72EF"/>
    <w:rsid w:val="009E049C"/>
    <w:rsid w:val="009E19C2"/>
    <w:rsid w:val="009E27F1"/>
    <w:rsid w:val="009E2ABF"/>
    <w:rsid w:val="009E2C42"/>
    <w:rsid w:val="009E4485"/>
    <w:rsid w:val="009E5806"/>
    <w:rsid w:val="009F0197"/>
    <w:rsid w:val="009F0C24"/>
    <w:rsid w:val="009F29AF"/>
    <w:rsid w:val="009F3EA4"/>
    <w:rsid w:val="00A0053F"/>
    <w:rsid w:val="00A035BB"/>
    <w:rsid w:val="00A10632"/>
    <w:rsid w:val="00A1567F"/>
    <w:rsid w:val="00A15E61"/>
    <w:rsid w:val="00A20E56"/>
    <w:rsid w:val="00A261A9"/>
    <w:rsid w:val="00A31EE6"/>
    <w:rsid w:val="00A36234"/>
    <w:rsid w:val="00A37C7E"/>
    <w:rsid w:val="00A4576D"/>
    <w:rsid w:val="00A54D3A"/>
    <w:rsid w:val="00A616D2"/>
    <w:rsid w:val="00A62869"/>
    <w:rsid w:val="00A6293B"/>
    <w:rsid w:val="00A6665E"/>
    <w:rsid w:val="00A66A09"/>
    <w:rsid w:val="00A7153D"/>
    <w:rsid w:val="00A728F1"/>
    <w:rsid w:val="00A73359"/>
    <w:rsid w:val="00A76253"/>
    <w:rsid w:val="00A87AE6"/>
    <w:rsid w:val="00A87C47"/>
    <w:rsid w:val="00A909E2"/>
    <w:rsid w:val="00AA05DB"/>
    <w:rsid w:val="00AA4669"/>
    <w:rsid w:val="00AA4E4C"/>
    <w:rsid w:val="00AB02C3"/>
    <w:rsid w:val="00AB0CE2"/>
    <w:rsid w:val="00AB20D3"/>
    <w:rsid w:val="00AB5734"/>
    <w:rsid w:val="00AB60EC"/>
    <w:rsid w:val="00AB7F46"/>
    <w:rsid w:val="00AD2ACC"/>
    <w:rsid w:val="00AD3138"/>
    <w:rsid w:val="00AE468D"/>
    <w:rsid w:val="00AE6E2D"/>
    <w:rsid w:val="00AF1332"/>
    <w:rsid w:val="00AF367A"/>
    <w:rsid w:val="00AF4129"/>
    <w:rsid w:val="00AF4898"/>
    <w:rsid w:val="00AF6A79"/>
    <w:rsid w:val="00B036A6"/>
    <w:rsid w:val="00B07D28"/>
    <w:rsid w:val="00B10657"/>
    <w:rsid w:val="00B12B02"/>
    <w:rsid w:val="00B20449"/>
    <w:rsid w:val="00B22EB2"/>
    <w:rsid w:val="00B248A3"/>
    <w:rsid w:val="00B32E9C"/>
    <w:rsid w:val="00B40506"/>
    <w:rsid w:val="00B53343"/>
    <w:rsid w:val="00B53AB3"/>
    <w:rsid w:val="00B54EF7"/>
    <w:rsid w:val="00B606B2"/>
    <w:rsid w:val="00B61AA3"/>
    <w:rsid w:val="00B62E04"/>
    <w:rsid w:val="00B639E2"/>
    <w:rsid w:val="00B644AC"/>
    <w:rsid w:val="00B64DD2"/>
    <w:rsid w:val="00B664BB"/>
    <w:rsid w:val="00B73872"/>
    <w:rsid w:val="00B75733"/>
    <w:rsid w:val="00B80383"/>
    <w:rsid w:val="00B80947"/>
    <w:rsid w:val="00B80B1C"/>
    <w:rsid w:val="00B815D9"/>
    <w:rsid w:val="00B856E9"/>
    <w:rsid w:val="00B874EE"/>
    <w:rsid w:val="00B91BFC"/>
    <w:rsid w:val="00B93499"/>
    <w:rsid w:val="00B942FF"/>
    <w:rsid w:val="00B95D25"/>
    <w:rsid w:val="00BA19CE"/>
    <w:rsid w:val="00BA2FE3"/>
    <w:rsid w:val="00BA3F42"/>
    <w:rsid w:val="00BA5E06"/>
    <w:rsid w:val="00BB7005"/>
    <w:rsid w:val="00BB7209"/>
    <w:rsid w:val="00BC041F"/>
    <w:rsid w:val="00BC0FCB"/>
    <w:rsid w:val="00BC6F94"/>
    <w:rsid w:val="00BC7A82"/>
    <w:rsid w:val="00BD22B7"/>
    <w:rsid w:val="00BD2C6D"/>
    <w:rsid w:val="00BE4EB6"/>
    <w:rsid w:val="00BE6D6A"/>
    <w:rsid w:val="00BF2804"/>
    <w:rsid w:val="00BF5381"/>
    <w:rsid w:val="00C0586E"/>
    <w:rsid w:val="00C058A7"/>
    <w:rsid w:val="00C0755A"/>
    <w:rsid w:val="00C1434F"/>
    <w:rsid w:val="00C14444"/>
    <w:rsid w:val="00C1615B"/>
    <w:rsid w:val="00C24664"/>
    <w:rsid w:val="00C2538C"/>
    <w:rsid w:val="00C33ED7"/>
    <w:rsid w:val="00C3604A"/>
    <w:rsid w:val="00C4095E"/>
    <w:rsid w:val="00C41843"/>
    <w:rsid w:val="00C419CE"/>
    <w:rsid w:val="00C42C2C"/>
    <w:rsid w:val="00C433AC"/>
    <w:rsid w:val="00C4644B"/>
    <w:rsid w:val="00C47994"/>
    <w:rsid w:val="00C503E4"/>
    <w:rsid w:val="00C54DB3"/>
    <w:rsid w:val="00C5678B"/>
    <w:rsid w:val="00C57AE4"/>
    <w:rsid w:val="00C61140"/>
    <w:rsid w:val="00C63833"/>
    <w:rsid w:val="00C704A5"/>
    <w:rsid w:val="00C70516"/>
    <w:rsid w:val="00C73229"/>
    <w:rsid w:val="00C8094C"/>
    <w:rsid w:val="00C83FD2"/>
    <w:rsid w:val="00C85D58"/>
    <w:rsid w:val="00C95923"/>
    <w:rsid w:val="00CA7629"/>
    <w:rsid w:val="00CA773B"/>
    <w:rsid w:val="00CB1EAF"/>
    <w:rsid w:val="00CB47C0"/>
    <w:rsid w:val="00CB4992"/>
    <w:rsid w:val="00CB5589"/>
    <w:rsid w:val="00CB5D3F"/>
    <w:rsid w:val="00CC062B"/>
    <w:rsid w:val="00CC3173"/>
    <w:rsid w:val="00CC4242"/>
    <w:rsid w:val="00CC49F2"/>
    <w:rsid w:val="00CC6775"/>
    <w:rsid w:val="00CC699C"/>
    <w:rsid w:val="00CC6BA7"/>
    <w:rsid w:val="00CD030D"/>
    <w:rsid w:val="00CD28B2"/>
    <w:rsid w:val="00CD4287"/>
    <w:rsid w:val="00CD5C3E"/>
    <w:rsid w:val="00CE1F74"/>
    <w:rsid w:val="00CE481B"/>
    <w:rsid w:val="00CE6529"/>
    <w:rsid w:val="00CE7A62"/>
    <w:rsid w:val="00CF02A5"/>
    <w:rsid w:val="00CF04F0"/>
    <w:rsid w:val="00CF30FB"/>
    <w:rsid w:val="00CF755D"/>
    <w:rsid w:val="00D0054D"/>
    <w:rsid w:val="00D02B5D"/>
    <w:rsid w:val="00D02D9C"/>
    <w:rsid w:val="00D03BD2"/>
    <w:rsid w:val="00D072DD"/>
    <w:rsid w:val="00D07DB3"/>
    <w:rsid w:val="00D12ACD"/>
    <w:rsid w:val="00D23020"/>
    <w:rsid w:val="00D33F90"/>
    <w:rsid w:val="00D35C54"/>
    <w:rsid w:val="00D36642"/>
    <w:rsid w:val="00D37328"/>
    <w:rsid w:val="00D375C4"/>
    <w:rsid w:val="00D40083"/>
    <w:rsid w:val="00D4078B"/>
    <w:rsid w:val="00D44227"/>
    <w:rsid w:val="00D4562B"/>
    <w:rsid w:val="00D50585"/>
    <w:rsid w:val="00D51CB9"/>
    <w:rsid w:val="00D53DEB"/>
    <w:rsid w:val="00D652F7"/>
    <w:rsid w:val="00D7126C"/>
    <w:rsid w:val="00D7192D"/>
    <w:rsid w:val="00D7368C"/>
    <w:rsid w:val="00D73FDD"/>
    <w:rsid w:val="00D749F9"/>
    <w:rsid w:val="00D77B43"/>
    <w:rsid w:val="00D80206"/>
    <w:rsid w:val="00D8564D"/>
    <w:rsid w:val="00D86FD6"/>
    <w:rsid w:val="00D87135"/>
    <w:rsid w:val="00D87DB5"/>
    <w:rsid w:val="00DA094F"/>
    <w:rsid w:val="00DA29B1"/>
    <w:rsid w:val="00DA468F"/>
    <w:rsid w:val="00DA4723"/>
    <w:rsid w:val="00DA5C44"/>
    <w:rsid w:val="00DB3A93"/>
    <w:rsid w:val="00DC6051"/>
    <w:rsid w:val="00DC700B"/>
    <w:rsid w:val="00DC70B7"/>
    <w:rsid w:val="00DD091B"/>
    <w:rsid w:val="00DD1D74"/>
    <w:rsid w:val="00DD2C2B"/>
    <w:rsid w:val="00DD6DC3"/>
    <w:rsid w:val="00DE4587"/>
    <w:rsid w:val="00DE728D"/>
    <w:rsid w:val="00DE7478"/>
    <w:rsid w:val="00DE7930"/>
    <w:rsid w:val="00DF1CB5"/>
    <w:rsid w:val="00DF3A34"/>
    <w:rsid w:val="00DF6B99"/>
    <w:rsid w:val="00DF799F"/>
    <w:rsid w:val="00E05329"/>
    <w:rsid w:val="00E07C86"/>
    <w:rsid w:val="00E11F4A"/>
    <w:rsid w:val="00E120BE"/>
    <w:rsid w:val="00E136D6"/>
    <w:rsid w:val="00E173A7"/>
    <w:rsid w:val="00E17FF3"/>
    <w:rsid w:val="00E204A3"/>
    <w:rsid w:val="00E21669"/>
    <w:rsid w:val="00E250C7"/>
    <w:rsid w:val="00E25161"/>
    <w:rsid w:val="00E25263"/>
    <w:rsid w:val="00E27A68"/>
    <w:rsid w:val="00E3015D"/>
    <w:rsid w:val="00E32567"/>
    <w:rsid w:val="00E341D4"/>
    <w:rsid w:val="00E35D83"/>
    <w:rsid w:val="00E401C0"/>
    <w:rsid w:val="00E4484D"/>
    <w:rsid w:val="00E448A9"/>
    <w:rsid w:val="00E47364"/>
    <w:rsid w:val="00E50C73"/>
    <w:rsid w:val="00E50E17"/>
    <w:rsid w:val="00E55FDE"/>
    <w:rsid w:val="00E600E7"/>
    <w:rsid w:val="00E65B49"/>
    <w:rsid w:val="00E67641"/>
    <w:rsid w:val="00E732A4"/>
    <w:rsid w:val="00E7379B"/>
    <w:rsid w:val="00E74562"/>
    <w:rsid w:val="00E76072"/>
    <w:rsid w:val="00E772BC"/>
    <w:rsid w:val="00E801ED"/>
    <w:rsid w:val="00E84928"/>
    <w:rsid w:val="00E85F58"/>
    <w:rsid w:val="00E86F88"/>
    <w:rsid w:val="00E8799D"/>
    <w:rsid w:val="00E95BEE"/>
    <w:rsid w:val="00E95CA1"/>
    <w:rsid w:val="00E964D4"/>
    <w:rsid w:val="00EA2788"/>
    <w:rsid w:val="00EA4AA8"/>
    <w:rsid w:val="00EA7E55"/>
    <w:rsid w:val="00EB0FCB"/>
    <w:rsid w:val="00EB1570"/>
    <w:rsid w:val="00EB42C9"/>
    <w:rsid w:val="00EB4BA9"/>
    <w:rsid w:val="00EB67FF"/>
    <w:rsid w:val="00EC3C19"/>
    <w:rsid w:val="00EC6162"/>
    <w:rsid w:val="00ED7C73"/>
    <w:rsid w:val="00EE4F18"/>
    <w:rsid w:val="00EE5369"/>
    <w:rsid w:val="00EE57E8"/>
    <w:rsid w:val="00EF14EE"/>
    <w:rsid w:val="00EF1CA1"/>
    <w:rsid w:val="00EF2CF2"/>
    <w:rsid w:val="00EF3F12"/>
    <w:rsid w:val="00EF5CB0"/>
    <w:rsid w:val="00F021CD"/>
    <w:rsid w:val="00F049A6"/>
    <w:rsid w:val="00F07FB0"/>
    <w:rsid w:val="00F10EE6"/>
    <w:rsid w:val="00F124B1"/>
    <w:rsid w:val="00F124BF"/>
    <w:rsid w:val="00F12514"/>
    <w:rsid w:val="00F1494E"/>
    <w:rsid w:val="00F15A12"/>
    <w:rsid w:val="00F15DC1"/>
    <w:rsid w:val="00F15F3B"/>
    <w:rsid w:val="00F17C83"/>
    <w:rsid w:val="00F27FD5"/>
    <w:rsid w:val="00F3176C"/>
    <w:rsid w:val="00F37232"/>
    <w:rsid w:val="00F40F91"/>
    <w:rsid w:val="00F440A0"/>
    <w:rsid w:val="00F44319"/>
    <w:rsid w:val="00F454CF"/>
    <w:rsid w:val="00F475C6"/>
    <w:rsid w:val="00F476EE"/>
    <w:rsid w:val="00F5330E"/>
    <w:rsid w:val="00F5683F"/>
    <w:rsid w:val="00F57C01"/>
    <w:rsid w:val="00F60DCC"/>
    <w:rsid w:val="00F66678"/>
    <w:rsid w:val="00F67E02"/>
    <w:rsid w:val="00F67EC9"/>
    <w:rsid w:val="00F71018"/>
    <w:rsid w:val="00F711DA"/>
    <w:rsid w:val="00F71AB5"/>
    <w:rsid w:val="00F749F1"/>
    <w:rsid w:val="00F76650"/>
    <w:rsid w:val="00F82472"/>
    <w:rsid w:val="00F82932"/>
    <w:rsid w:val="00F86CFF"/>
    <w:rsid w:val="00F875E3"/>
    <w:rsid w:val="00F91E7B"/>
    <w:rsid w:val="00F92C28"/>
    <w:rsid w:val="00F93966"/>
    <w:rsid w:val="00F941FF"/>
    <w:rsid w:val="00F94415"/>
    <w:rsid w:val="00F944A5"/>
    <w:rsid w:val="00FA1455"/>
    <w:rsid w:val="00FA3867"/>
    <w:rsid w:val="00FA3F18"/>
    <w:rsid w:val="00FA456F"/>
    <w:rsid w:val="00FA74A0"/>
    <w:rsid w:val="00FB00A2"/>
    <w:rsid w:val="00FB2B9C"/>
    <w:rsid w:val="00FC3324"/>
    <w:rsid w:val="00FC5BC3"/>
    <w:rsid w:val="00FC7309"/>
    <w:rsid w:val="00FD0042"/>
    <w:rsid w:val="00FD0D60"/>
    <w:rsid w:val="00FD1487"/>
    <w:rsid w:val="00FD1B22"/>
    <w:rsid w:val="00FD26B5"/>
    <w:rsid w:val="00FD28CB"/>
    <w:rsid w:val="00FD4ABA"/>
    <w:rsid w:val="00FD7351"/>
    <w:rsid w:val="00FE4A19"/>
    <w:rsid w:val="00FE5A61"/>
    <w:rsid w:val="00FF4B5A"/>
    <w:rsid w:val="07AA0A9C"/>
    <w:rsid w:val="0B4140FF"/>
    <w:rsid w:val="0BFAC4FD"/>
    <w:rsid w:val="19BF5562"/>
    <w:rsid w:val="24505AB6"/>
    <w:rsid w:val="5F640F34"/>
    <w:rsid w:val="73DE025F"/>
    <w:rsid w:val="76DB408D"/>
    <w:rsid w:val="7B7F0317"/>
    <w:rsid w:val="7FF6CD21"/>
    <w:rsid w:val="AFAFBCC4"/>
    <w:rsid w:val="AFC68625"/>
    <w:rsid w:val="CA7E4187"/>
    <w:rsid w:val="ECFFEA39"/>
    <w:rsid w:val="F7E7977F"/>
    <w:rsid w:val="FD9AE128"/>
    <w:rsid w:val="FFE762C5"/>
    <w:rsid w:val="FFFAF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nhideWhenUsed="0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30"/>
      <w:szCs w:val="44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unhideWhenUsed/>
    <w:qFormat/>
    <w:uiPriority w:val="99"/>
    <w:pPr>
      <w:jc w:val="left"/>
    </w:pPr>
  </w:style>
  <w:style w:type="paragraph" w:styleId="4">
    <w:name w:val="Body Text"/>
    <w:basedOn w:val="1"/>
    <w:next w:val="5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5">
    <w:name w:val="Body Text First Indent"/>
    <w:basedOn w:val="4"/>
    <w:next w:val="6"/>
    <w:qFormat/>
    <w:uiPriority w:val="0"/>
    <w:pPr>
      <w:ind w:firstLine="420"/>
    </w:pPr>
    <w:rPr>
      <w:sz w:val="21"/>
    </w:rPr>
  </w:style>
  <w:style w:type="paragraph" w:styleId="6">
    <w:name w:val="toc 6"/>
    <w:basedOn w:val="1"/>
    <w:next w:val="1"/>
    <w:qFormat/>
    <w:uiPriority w:val="0"/>
    <w:pPr>
      <w:ind w:left="1050"/>
      <w:jc w:val="left"/>
    </w:pPr>
    <w:rPr>
      <w:rFonts w:ascii="Century Gothic" w:hAnsi="Century Gothic"/>
      <w:sz w:val="18"/>
      <w:szCs w:val="18"/>
    </w:rPr>
  </w:style>
  <w:style w:type="paragraph" w:styleId="7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13">
    <w:name w:val="annotation subject"/>
    <w:basedOn w:val="3"/>
    <w:next w:val="3"/>
    <w:link w:val="24"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annotation reference"/>
    <w:basedOn w:val="16"/>
    <w:unhideWhenUsed/>
    <w:qFormat/>
    <w:uiPriority w:val="99"/>
    <w:rPr>
      <w:sz w:val="21"/>
      <w:szCs w:val="21"/>
    </w:rPr>
  </w:style>
  <w:style w:type="character" w:styleId="18">
    <w:name w:val="footnote reference"/>
    <w:basedOn w:val="16"/>
    <w:qFormat/>
    <w:uiPriority w:val="0"/>
    <w:rPr>
      <w:vertAlign w:val="superscript"/>
    </w:rPr>
  </w:style>
  <w:style w:type="character" w:customStyle="1" w:styleId="19">
    <w:name w:val="页眉 Char"/>
    <w:basedOn w:val="16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8"/>
    <w:qFormat/>
    <w:uiPriority w:val="99"/>
    <w:rPr>
      <w:sz w:val="18"/>
      <w:szCs w:val="18"/>
    </w:rPr>
  </w:style>
  <w:style w:type="paragraph" w:customStyle="1" w:styleId="21">
    <w:name w:val="p15"/>
    <w:basedOn w:val="1"/>
    <w:qFormat/>
    <w:uiPriority w:val="0"/>
    <w:pPr>
      <w:widowControl/>
      <w:spacing w:line="360" w:lineRule="auto"/>
      <w:ind w:firstLine="420"/>
    </w:pPr>
    <w:rPr>
      <w:rFonts w:ascii="Times New Roman" w:hAnsi="Times New Roman"/>
      <w:kern w:val="0"/>
      <w:sz w:val="24"/>
      <w:szCs w:val="24"/>
    </w:rPr>
  </w:style>
  <w:style w:type="character" w:customStyle="1" w:styleId="22">
    <w:name w:val="text-tag"/>
    <w:basedOn w:val="16"/>
    <w:qFormat/>
    <w:uiPriority w:val="0"/>
  </w:style>
  <w:style w:type="character" w:customStyle="1" w:styleId="23">
    <w:name w:val="批注文字 Char"/>
    <w:basedOn w:val="16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24">
    <w:name w:val="批注主题 Char"/>
    <w:basedOn w:val="23"/>
    <w:link w:val="13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25">
    <w:name w:val="批注框文本 Char"/>
    <w:basedOn w:val="16"/>
    <w:link w:val="7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6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1396</Words>
  <Characters>7961</Characters>
  <Lines>66</Lines>
  <Paragraphs>18</Paragraphs>
  <TotalTime>18</TotalTime>
  <ScaleCrop>false</ScaleCrop>
  <LinksUpToDate>false</LinksUpToDate>
  <CharactersWithSpaces>9339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2022-05-03T10:01:00Z</dcterms:created>
  <dc:creator>祝磊</dc:creator>
  <cp:lastModifiedBy>sxszf</cp:lastModifiedBy>
  <cp:lastPrinted>2022-05-02T02:35:00Z</cp:lastPrinted>
  <dcterms:modified xsi:type="dcterms:W3CDTF">2022-11-29T09:44:35Z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E471AB4585AA44B9BE527F2DB1CE89C6</vt:lpwstr>
  </property>
</Properties>
</file>